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Ciudad y fecha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Ing.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Marco Antonio Peña Aldaz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 NACIONAL DE PROMOCIÓN ELECTORAL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CONSEJO NACIONAL ELECTORAL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Ciudad.-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Yo, (Nombre del Representante Legal del Proveedor), Representante Legal de (Nombre del Proveedor), solicito a usted comedidamente, se sirva disponer a quien corresponda se proceda con la </w:t>
      </w:r>
      <w:r w:rsidDel="00000000" w:rsidR="00000000" w:rsidRPr="00000000">
        <w:rPr>
          <w:b w:val="1"/>
          <w:rtl w:val="0"/>
        </w:rPr>
        <w:t xml:space="preserve">MODIFICACIÓN</w:t>
      </w:r>
      <w:r w:rsidDel="00000000" w:rsidR="00000000" w:rsidRPr="00000000">
        <w:rPr>
          <w:rtl w:val="0"/>
        </w:rPr>
        <w:t xml:space="preserve"> de la(s) siguiente(s) órdenes de publicidad, pautaje y pago de PROCESO ELECTORAL: ELECCIONES GENERALES 2025.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65.0" w:type="dxa"/>
        <w:jc w:val="left"/>
        <w:tblInd w:w="5.0" w:type="dxa"/>
        <w:tblLayout w:type="fixed"/>
        <w:tblLook w:val="0400"/>
      </w:tblPr>
      <w:tblGrid>
        <w:gridCol w:w="1372"/>
        <w:gridCol w:w="1239"/>
        <w:gridCol w:w="1927"/>
        <w:gridCol w:w="1514"/>
        <w:gridCol w:w="1289"/>
        <w:gridCol w:w="1237"/>
        <w:gridCol w:w="1687"/>
        <w:tblGridChange w:id="0">
          <w:tblGrid>
            <w:gridCol w:w="1372"/>
            <w:gridCol w:w="1239"/>
            <w:gridCol w:w="1927"/>
            <w:gridCol w:w="1514"/>
            <w:gridCol w:w="1289"/>
            <w:gridCol w:w="1237"/>
            <w:gridCol w:w="1687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NÚMERO DE ORDEN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CÓDIGO DE PRODUCTO SEGÚN ORDEN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ORGANIZACIÓN O ALIANZA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DIGNIDAD/ OPCIÓN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JURISDICCIÓN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CAMBIO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b w:val="1"/>
          <w:rtl w:val="0"/>
        </w:rPr>
        <w:t xml:space="preserve">Considerar que acorde a la normativa establece:</w:t>
      </w:r>
      <w:r w:rsidDel="00000000" w:rsidR="00000000" w:rsidRPr="00000000">
        <w:rPr>
          <w:rtl w:val="0"/>
        </w:rPr>
        <w:t xml:space="preserve"> “…Durante y después del período de campaña electoral, la o el Representante Legal del proveedor de manera conjunta con la o el Responsable del Manejo Económico del sujeto político podrán solicitar por escrito, ante el Consejo Nacional Electoral, la modificación o anulación de la orden de publicidad y pautaje. En los dos casos, deberá adjuntarse a la solicitud una impresión obtenida del sistema informático de la orden de publicidad y pautaje objeto de la modificación o anulación.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La modificación podrá estar sujeta a eliminación de ítems, reemplazo de ítems, rectificaciones de cantidad, de fechas, de número de impresiones, en productos con tarifa CPM, de horas de exposición; y/o, de duración que no impliquen aumento del valor a cancelar.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”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(Colocar aquí el motivo del requerimiento)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8"/>
        <w:gridCol w:w="1653"/>
        <w:gridCol w:w="4017"/>
        <w:tblGridChange w:id="0">
          <w:tblGrid>
            <w:gridCol w:w="4248"/>
            <w:gridCol w:w="1653"/>
            <w:gridCol w:w="40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REPRESENTANTE LEGAL DEL PROVEEDOR (NOMBRE Y CEDULA)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RESPONSABLE DEL MANEJO ECONOMICO (NOMBRE Y CEDULA)</w:t>
            </w:r>
          </w:p>
        </w:tc>
      </w:tr>
    </w:tbl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ADJUNTAR COPIA DE CEDULA DEL RME Y REPRESENTANTE LEGAL DEL PROVEEDOR, Y ORDEN DE PAUTAJE, LAS FIRMAS DEBEN IR IGUAL A LAS DE LA CEDULA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418" w:top="2268" w:left="1134" w:right="843" w:header="709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Bookman Old Style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7196.0" w:type="dxa"/>
      <w:jc w:val="left"/>
      <w:tblInd w:w="-115.0" w:type="dxa"/>
      <w:tblLayout w:type="fixed"/>
      <w:tblLook w:val="0400"/>
    </w:tblPr>
    <w:tblGrid>
      <w:gridCol w:w="7196"/>
      <w:tblGridChange w:id="0">
        <w:tblGrid>
          <w:gridCol w:w="7196"/>
        </w:tblGrid>
      </w:tblGridChange>
    </w:tblGrid>
    <w:tr>
      <w:trPr>
        <w:cantSplit w:val="0"/>
        <w:trHeight w:val="552" w:hRule="atLeast"/>
        <w:tblHeader w:val="0"/>
      </w:trPr>
      <w:tc>
        <w:tcPr>
          <w:vMerge w:val="restart"/>
          <w:shd w:fill="auto" w:val="clear"/>
          <w:vAlign w:val="bottom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b7bfd6"/>
              <w:sz w:val="48"/>
              <w:szCs w:val="4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81" w:hRule="atLeast"/>
        <w:tblHeader w:val="0"/>
      </w:trPr>
      <w:tc>
        <w:tcPr>
          <w:vMerge w:val="continue"/>
          <w:shd w:fill="auto" w:val="clear"/>
          <w:vAlign w:val="bottom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b7bfd6"/>
              <w:sz w:val="48"/>
              <w:szCs w:val="4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524.0" w:type="dxa"/>
      <w:jc w:val="left"/>
      <w:tblInd w:w="-176.0" w:type="dxa"/>
      <w:tblLayout w:type="fixed"/>
      <w:tblLook w:val="0400"/>
    </w:tblPr>
    <w:tblGrid>
      <w:gridCol w:w="2381"/>
      <w:gridCol w:w="341"/>
      <w:gridCol w:w="6802"/>
      <w:tblGridChange w:id="0">
        <w:tblGrid>
          <w:gridCol w:w="2381"/>
          <w:gridCol w:w="341"/>
          <w:gridCol w:w="6802"/>
        </w:tblGrid>
      </w:tblGridChange>
    </w:tblGrid>
    <w:tr>
      <w:trPr>
        <w:cantSplit w:val="0"/>
        <w:trHeight w:val="373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Hoja membretada del medio en el caso de tenerla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C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